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02F29" w14:textId="066FF92F" w:rsidR="0098689D" w:rsidRDefault="00000000" w:rsidP="00727E0B">
      <w:pPr>
        <w:spacing w:line="480" w:lineRule="auto"/>
        <w:rPr>
          <w:rFonts w:ascii="黑体" w:eastAsia="黑体" w:hAnsi="黑体"/>
          <w:sz w:val="32"/>
          <w:szCs w:val="32"/>
        </w:rPr>
      </w:pPr>
      <w:r>
        <w:rPr>
          <w:rFonts w:ascii="黑体" w:eastAsia="黑体" w:hAnsi="黑体"/>
          <w:sz w:val="32"/>
          <w:szCs w:val="32"/>
        </w:rPr>
        <w:t>《食品安全国家标准</w:t>
      </w:r>
      <w:r>
        <w:rPr>
          <w:rFonts w:ascii="黑体" w:eastAsia="黑体" w:hAnsi="黑体" w:hint="eastAsia"/>
          <w:sz w:val="32"/>
          <w:szCs w:val="32"/>
        </w:rPr>
        <w:t xml:space="preserve"> </w:t>
      </w:r>
      <w:r>
        <w:rPr>
          <w:rFonts w:ascii="黑体" w:eastAsia="黑体" w:hAnsi="黑体"/>
          <w:sz w:val="32"/>
          <w:szCs w:val="32"/>
        </w:rPr>
        <w:t>食品添加剂</w:t>
      </w:r>
      <w:r w:rsidR="00727E0B">
        <w:rPr>
          <w:rFonts w:ascii="黑体" w:eastAsia="黑体" w:hAnsi="黑体"/>
          <w:sz w:val="32"/>
          <w:szCs w:val="32"/>
        </w:rPr>
        <w:t xml:space="preserve"> </w:t>
      </w:r>
      <w:r w:rsidR="00727E0B" w:rsidRPr="00727E0B">
        <w:rPr>
          <w:rFonts w:ascii="Times New Roman" w:eastAsia="黑体" w:hAnsi="Times New Roman" w:hint="eastAsia"/>
          <w:sz w:val="30"/>
          <w:szCs w:val="30"/>
        </w:rPr>
        <w:t>聚甘油蓖麻醇酸脂（</w:t>
      </w:r>
      <w:r w:rsidR="00727E0B" w:rsidRPr="00727E0B">
        <w:rPr>
          <w:rFonts w:ascii="Times New Roman" w:eastAsia="黑体" w:hAnsi="Times New Roman" w:hint="eastAsia"/>
          <w:sz w:val="30"/>
          <w:szCs w:val="30"/>
        </w:rPr>
        <w:t>PGPR</w:t>
      </w:r>
      <w:r w:rsidR="00727E0B" w:rsidRPr="00727E0B">
        <w:rPr>
          <w:rFonts w:ascii="Times New Roman" w:eastAsia="黑体" w:hAnsi="Times New Roman" w:hint="eastAsia"/>
          <w:sz w:val="30"/>
          <w:szCs w:val="30"/>
        </w:rPr>
        <w:t>）</w:t>
      </w:r>
      <w:r>
        <w:rPr>
          <w:rFonts w:ascii="黑体" w:eastAsia="黑体" w:hAnsi="黑体"/>
          <w:sz w:val="32"/>
          <w:szCs w:val="32"/>
        </w:rPr>
        <w:t>》</w:t>
      </w:r>
    </w:p>
    <w:p w14:paraId="1AFDF6D6" w14:textId="7A492131" w:rsidR="0098689D" w:rsidRDefault="00000000" w:rsidP="00495247">
      <w:pPr>
        <w:spacing w:line="480" w:lineRule="auto"/>
        <w:rPr>
          <w:rFonts w:ascii="黑体" w:eastAsia="黑体" w:hAnsi="黑体"/>
          <w:spacing w:val="-4"/>
          <w:sz w:val="32"/>
          <w:szCs w:val="32"/>
        </w:rPr>
      </w:pPr>
      <w:r>
        <w:rPr>
          <w:rFonts w:ascii="Times New Roman" w:eastAsia="黑体" w:hAnsi="Times New Roman"/>
          <w:spacing w:val="-4"/>
          <w:sz w:val="32"/>
          <w:szCs w:val="32"/>
        </w:rPr>
        <w:t>（</w:t>
      </w:r>
      <w:r w:rsidR="00727E0B" w:rsidRPr="00727E0B">
        <w:rPr>
          <w:rFonts w:ascii="Times New Roman" w:eastAsia="黑体" w:hAnsi="Times New Roman"/>
          <w:spacing w:val="-4"/>
          <w:sz w:val="32"/>
          <w:szCs w:val="32"/>
        </w:rPr>
        <w:t>GB 1886.95-2015</w:t>
      </w:r>
      <w:r>
        <w:rPr>
          <w:rFonts w:ascii="Times New Roman" w:eastAsia="黑体" w:hAnsi="Times New Roman"/>
          <w:spacing w:val="-4"/>
          <w:sz w:val="32"/>
          <w:szCs w:val="32"/>
        </w:rPr>
        <w:t>）</w:t>
      </w:r>
      <w:r>
        <w:rPr>
          <w:rFonts w:ascii="黑体" w:eastAsia="黑体" w:hAnsi="黑体"/>
          <w:spacing w:val="-4"/>
          <w:sz w:val="32"/>
          <w:szCs w:val="32"/>
        </w:rPr>
        <w:t>第</w:t>
      </w:r>
      <w:r w:rsidR="008B714A">
        <w:rPr>
          <w:rFonts w:ascii="Times New Roman" w:eastAsia="黑体" w:hAnsi="Times New Roman"/>
          <w:spacing w:val="-4"/>
          <w:sz w:val="32"/>
          <w:szCs w:val="32"/>
        </w:rPr>
        <w:t>1</w:t>
      </w:r>
      <w:r>
        <w:rPr>
          <w:rFonts w:ascii="黑体" w:eastAsia="黑体" w:hAnsi="黑体"/>
          <w:spacing w:val="-4"/>
          <w:sz w:val="32"/>
          <w:szCs w:val="32"/>
        </w:rPr>
        <w:t>号修改单</w:t>
      </w:r>
      <w:r>
        <w:rPr>
          <w:rFonts w:ascii="黑体" w:eastAsia="黑体" w:hAnsi="黑体" w:hint="eastAsia"/>
          <w:spacing w:val="-4"/>
          <w:sz w:val="32"/>
          <w:szCs w:val="32"/>
        </w:rPr>
        <w:t>（</w:t>
      </w:r>
      <w:r w:rsidR="00A37867" w:rsidRPr="00A37867">
        <w:rPr>
          <w:rFonts w:ascii="黑体" w:eastAsia="黑体" w:hAnsi="黑体" w:hint="eastAsia"/>
          <w:spacing w:val="-4"/>
          <w:sz w:val="32"/>
          <w:szCs w:val="32"/>
        </w:rPr>
        <w:t>征求意见</w:t>
      </w:r>
      <w:r>
        <w:rPr>
          <w:rFonts w:ascii="黑体" w:eastAsia="黑体" w:hAnsi="黑体" w:hint="eastAsia"/>
          <w:spacing w:val="-4"/>
          <w:sz w:val="32"/>
          <w:szCs w:val="32"/>
        </w:rPr>
        <w:t>稿）</w:t>
      </w:r>
      <w:r>
        <w:rPr>
          <w:rFonts w:ascii="黑体" w:eastAsia="黑体" w:hAnsi="黑体"/>
          <w:spacing w:val="-4"/>
          <w:sz w:val="32"/>
          <w:szCs w:val="32"/>
        </w:rPr>
        <w:t>编制说明</w:t>
      </w:r>
    </w:p>
    <w:p w14:paraId="1BF33966" w14:textId="77777777" w:rsidR="0098689D" w:rsidRPr="00A37867" w:rsidRDefault="0098689D">
      <w:pPr>
        <w:spacing w:line="360" w:lineRule="auto"/>
        <w:ind w:firstLineChars="200" w:firstLine="420"/>
        <w:rPr>
          <w:rFonts w:ascii="黑体" w:eastAsia="黑体" w:hAnsi="黑体"/>
          <w:szCs w:val="21"/>
        </w:rPr>
      </w:pPr>
    </w:p>
    <w:p w14:paraId="5CEDC6BC"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一、修订背景</w:t>
      </w:r>
    </w:p>
    <w:p w14:paraId="4CD567B6" w14:textId="64976BFD" w:rsidR="0098689D" w:rsidRPr="000376EF" w:rsidRDefault="00000000" w:rsidP="000376EF">
      <w:pPr>
        <w:spacing w:line="360" w:lineRule="auto"/>
        <w:ind w:firstLineChars="200" w:firstLine="420"/>
        <w:rPr>
          <w:rFonts w:ascii="Times New Roman" w:hAnsi="Times New Roman"/>
          <w:szCs w:val="21"/>
        </w:rPr>
      </w:pPr>
      <w:r>
        <w:rPr>
          <w:rFonts w:ascii="Times New Roman" w:hAnsi="Times New Roman"/>
          <w:szCs w:val="21"/>
        </w:rPr>
        <w:t>《食品安全国家标准</w:t>
      </w:r>
      <w:r>
        <w:rPr>
          <w:rFonts w:ascii="Times New Roman" w:hAnsi="Times New Roman"/>
          <w:szCs w:val="21"/>
        </w:rPr>
        <w:t xml:space="preserve"> </w:t>
      </w:r>
      <w:r>
        <w:rPr>
          <w:rFonts w:ascii="Times New Roman" w:hAnsi="Times New Roman"/>
          <w:szCs w:val="21"/>
        </w:rPr>
        <w:t>食品添加剂</w:t>
      </w:r>
      <w:r>
        <w:rPr>
          <w:rFonts w:ascii="Times New Roman" w:hAnsi="Times New Roman" w:hint="eastAsia"/>
          <w:szCs w:val="21"/>
        </w:rPr>
        <w:t xml:space="preserve"> </w:t>
      </w:r>
      <w:r w:rsidR="0044562A" w:rsidRPr="0044562A">
        <w:rPr>
          <w:rFonts w:ascii="Times New Roman" w:hAnsi="Times New Roman" w:hint="eastAsia"/>
          <w:szCs w:val="21"/>
        </w:rPr>
        <w:t>聚甘油蓖麻醇酸脂（</w:t>
      </w:r>
      <w:r w:rsidR="0044562A" w:rsidRPr="0044562A">
        <w:rPr>
          <w:rFonts w:ascii="Times New Roman" w:hAnsi="Times New Roman" w:hint="eastAsia"/>
          <w:szCs w:val="21"/>
        </w:rPr>
        <w:t>PGPR</w:t>
      </w:r>
      <w:r w:rsidR="0044562A" w:rsidRPr="0044562A">
        <w:rPr>
          <w:rFonts w:ascii="Times New Roman" w:hAnsi="Times New Roman" w:hint="eastAsia"/>
          <w:szCs w:val="21"/>
        </w:rPr>
        <w:t>）</w:t>
      </w:r>
      <w:r>
        <w:rPr>
          <w:rFonts w:ascii="Times New Roman" w:hAnsi="Times New Roman"/>
          <w:szCs w:val="21"/>
        </w:rPr>
        <w:t>》（</w:t>
      </w:r>
      <w:r w:rsidR="0044562A" w:rsidRPr="0044562A">
        <w:rPr>
          <w:rFonts w:ascii="Times New Roman" w:hAnsi="Times New Roman"/>
          <w:szCs w:val="21"/>
        </w:rPr>
        <w:t>GB 1886.95-2015</w:t>
      </w:r>
      <w:r>
        <w:rPr>
          <w:rFonts w:ascii="Times New Roman" w:hAnsi="Times New Roman"/>
          <w:szCs w:val="21"/>
        </w:rPr>
        <w:t>）于</w:t>
      </w:r>
      <w:r>
        <w:rPr>
          <w:rFonts w:ascii="Times New Roman" w:hAnsi="Times New Roman"/>
          <w:szCs w:val="21"/>
        </w:rPr>
        <w:t>201</w:t>
      </w:r>
      <w:r w:rsidR="00357E1B">
        <w:rPr>
          <w:rFonts w:ascii="Times New Roman" w:hAnsi="Times New Roman"/>
          <w:szCs w:val="21"/>
        </w:rPr>
        <w:t>5</w:t>
      </w:r>
      <w:r>
        <w:rPr>
          <w:rFonts w:ascii="Times New Roman" w:hAnsi="Times New Roman"/>
          <w:szCs w:val="21"/>
        </w:rPr>
        <w:t>年</w:t>
      </w:r>
      <w:r w:rsidR="00357E1B">
        <w:rPr>
          <w:rFonts w:ascii="Times New Roman" w:hAnsi="Times New Roman"/>
          <w:szCs w:val="21"/>
        </w:rPr>
        <w:t>9</w:t>
      </w:r>
      <w:r>
        <w:rPr>
          <w:rFonts w:ascii="Times New Roman" w:hAnsi="Times New Roman"/>
          <w:szCs w:val="21"/>
        </w:rPr>
        <w:t>月</w:t>
      </w:r>
      <w:r w:rsidR="00357E1B">
        <w:rPr>
          <w:rFonts w:ascii="Times New Roman" w:hAnsi="Times New Roman"/>
          <w:szCs w:val="21"/>
        </w:rPr>
        <w:t>22</w:t>
      </w:r>
      <w:r>
        <w:rPr>
          <w:rFonts w:ascii="Times New Roman" w:hAnsi="Times New Roman"/>
          <w:szCs w:val="21"/>
        </w:rPr>
        <w:t>日发布，</w:t>
      </w:r>
      <w:r>
        <w:rPr>
          <w:rFonts w:ascii="Times New Roman" w:hAnsi="Times New Roman"/>
          <w:szCs w:val="21"/>
        </w:rPr>
        <w:t>201</w:t>
      </w:r>
      <w:r w:rsidR="00357E1B">
        <w:rPr>
          <w:rFonts w:ascii="Times New Roman" w:hAnsi="Times New Roman"/>
          <w:szCs w:val="21"/>
        </w:rPr>
        <w:t>6</w:t>
      </w:r>
      <w:r>
        <w:rPr>
          <w:rFonts w:ascii="Times New Roman" w:hAnsi="Times New Roman"/>
          <w:szCs w:val="21"/>
        </w:rPr>
        <w:t>年</w:t>
      </w:r>
      <w:r w:rsidR="00357E1B">
        <w:rPr>
          <w:rFonts w:ascii="Times New Roman" w:hAnsi="Times New Roman"/>
          <w:szCs w:val="21"/>
        </w:rPr>
        <w:t>3</w:t>
      </w:r>
      <w:r>
        <w:rPr>
          <w:rFonts w:ascii="Times New Roman" w:hAnsi="Times New Roman"/>
          <w:szCs w:val="21"/>
        </w:rPr>
        <w:t>月</w:t>
      </w:r>
      <w:r w:rsidR="00357E1B">
        <w:rPr>
          <w:rFonts w:ascii="Times New Roman" w:hAnsi="Times New Roman"/>
          <w:szCs w:val="21"/>
        </w:rPr>
        <w:t>22</w:t>
      </w:r>
      <w:r>
        <w:rPr>
          <w:rFonts w:ascii="Times New Roman" w:hAnsi="Times New Roman"/>
          <w:szCs w:val="21"/>
        </w:rPr>
        <w:t>日实施</w:t>
      </w:r>
      <w:r>
        <w:rPr>
          <w:rFonts w:ascii="Times New Roman" w:hAnsi="Times New Roman" w:hint="eastAsia"/>
          <w:szCs w:val="21"/>
        </w:rPr>
        <w:t>。其中：</w:t>
      </w:r>
    </w:p>
    <w:p w14:paraId="1CE5BB2D" w14:textId="25968323" w:rsidR="0044562A" w:rsidRDefault="0044562A" w:rsidP="005D0A24">
      <w:pPr>
        <w:spacing w:line="360" w:lineRule="auto"/>
        <w:ind w:firstLineChars="200" w:firstLine="420"/>
        <w:rPr>
          <w:rFonts w:ascii="Times New Roman" w:hAnsi="Times New Roman"/>
        </w:rPr>
      </w:pPr>
      <w:r>
        <w:rPr>
          <w:rFonts w:ascii="黑体" w:eastAsia="黑体" w:hAnsi="黑体"/>
        </w:rPr>
        <w:t>3.2</w:t>
      </w:r>
      <w:r w:rsidRPr="00883515">
        <w:rPr>
          <w:rFonts w:ascii="黑体" w:eastAsia="黑体" w:hAnsi="黑体"/>
        </w:rPr>
        <w:t xml:space="preserve"> </w:t>
      </w:r>
      <w:r w:rsidRPr="00883515">
        <w:rPr>
          <w:rFonts w:ascii="黑体" w:eastAsia="黑体" w:hAnsi="黑体" w:hint="eastAsia"/>
        </w:rPr>
        <w:t>理化指标</w:t>
      </w:r>
    </w:p>
    <w:p w14:paraId="2916FBD6" w14:textId="33C05A1E" w:rsidR="0079795E" w:rsidRPr="005D0A24" w:rsidRDefault="0079795E" w:rsidP="005D0A24">
      <w:pPr>
        <w:spacing w:line="360" w:lineRule="auto"/>
        <w:ind w:firstLineChars="200" w:firstLine="420"/>
        <w:rPr>
          <w:rFonts w:ascii="Times New Roman" w:hAnsi="Times New Roman"/>
        </w:rPr>
      </w:pPr>
      <w:r w:rsidRPr="0079795E">
        <w:rPr>
          <w:rFonts w:ascii="Times New Roman" w:hAnsi="Times New Roman" w:hint="eastAsia"/>
        </w:rPr>
        <w:t>乳化剂产品在储存、运输过程中容易氧化、酸败等，需要添加抗氧化剂、酸度调节剂等维持产品本身的稳定，国际上很多国家地区都是允许食品添加剂制剂的合规存在，</w:t>
      </w:r>
      <w:r>
        <w:rPr>
          <w:rFonts w:ascii="Times New Roman" w:hAnsi="Times New Roman" w:hint="eastAsia"/>
        </w:rPr>
        <w:t>而</w:t>
      </w:r>
      <w:r w:rsidRPr="0079795E">
        <w:rPr>
          <w:rFonts w:ascii="Times New Roman" w:hAnsi="Times New Roman" w:hint="eastAsia"/>
        </w:rPr>
        <w:t>国内现行标准没有对</w:t>
      </w:r>
      <w:r w:rsidR="005D0A24">
        <w:rPr>
          <w:rFonts w:ascii="Times New Roman" w:hAnsi="Times New Roman" w:hint="eastAsia"/>
        </w:rPr>
        <w:t>此类</w:t>
      </w:r>
      <w:r w:rsidRPr="0079795E">
        <w:rPr>
          <w:rFonts w:ascii="Times New Roman" w:hAnsi="Times New Roman" w:hint="eastAsia"/>
        </w:rPr>
        <w:t>产品进行规定，限制了这类商品化产品的正常生产和使用</w:t>
      </w:r>
      <w:r>
        <w:rPr>
          <w:rFonts w:ascii="Times New Roman" w:hAnsi="Times New Roman" w:hint="eastAsia"/>
        </w:rPr>
        <w:t>，造成</w:t>
      </w:r>
      <w:r w:rsidRPr="0079795E">
        <w:rPr>
          <w:rFonts w:ascii="Times New Roman" w:hAnsi="Times New Roman" w:hint="eastAsia"/>
        </w:rPr>
        <w:t>国内企业无法获取生产许可证进行生产</w:t>
      </w:r>
      <w:r w:rsidR="003C3961">
        <w:rPr>
          <w:rFonts w:ascii="Times New Roman" w:hAnsi="Times New Roman" w:hint="eastAsia"/>
        </w:rPr>
        <w:t>，</w:t>
      </w:r>
      <w:r w:rsidRPr="00EC54DB">
        <w:rPr>
          <w:rFonts w:ascii="Times New Roman" w:hAnsi="Times New Roman" w:hint="eastAsia"/>
        </w:rPr>
        <w:t>建议参考其他食品安全国家标准中对食品添加剂的商品化产品的规定，增加</w:t>
      </w:r>
      <w:r w:rsidR="0044562A" w:rsidRPr="0044562A">
        <w:rPr>
          <w:rFonts w:ascii="Times New Roman" w:hAnsi="Times New Roman" w:hint="eastAsia"/>
        </w:rPr>
        <w:t>聚甘油蓖麻醇酸脂</w:t>
      </w:r>
      <w:r w:rsidRPr="00EC54DB">
        <w:rPr>
          <w:rFonts w:ascii="Times New Roman" w:hAnsi="Times New Roman" w:hint="eastAsia"/>
        </w:rPr>
        <w:t>的商品化产品描述。</w:t>
      </w:r>
      <w:r w:rsidR="005D0A24" w:rsidRPr="0079795E">
        <w:rPr>
          <w:rFonts w:ascii="Times New Roman" w:hAnsi="Times New Roman" w:hint="eastAsia"/>
        </w:rPr>
        <w:t>辅料使用情况的</w:t>
      </w:r>
      <w:r w:rsidRPr="0079795E">
        <w:rPr>
          <w:rFonts w:ascii="Times New Roman" w:hAnsi="Times New Roman" w:hint="eastAsia"/>
        </w:rPr>
        <w:t>工艺必要性说明如下：</w:t>
      </w:r>
    </w:p>
    <w:p w14:paraId="47239CB5" w14:textId="5EEC6ACD"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Pr="0079795E">
        <w:rPr>
          <w:rFonts w:ascii="Times New Roman" w:hAnsi="Times New Roman" w:hint="eastAsia"/>
        </w:rPr>
        <w:t>抗氧化剂（如维生素</w:t>
      </w:r>
      <w:r w:rsidRPr="0079795E">
        <w:rPr>
          <w:rFonts w:ascii="Times New Roman" w:hAnsi="Times New Roman" w:hint="eastAsia"/>
        </w:rPr>
        <w:t>E</w:t>
      </w:r>
      <w:r w:rsidRPr="0079795E">
        <w:rPr>
          <w:rFonts w:ascii="Times New Roman" w:hAnsi="Times New Roman" w:hint="eastAsia"/>
        </w:rPr>
        <w:t>）</w:t>
      </w:r>
    </w:p>
    <w:p w14:paraId="3C3F93B0" w14:textId="4B6F63D1" w:rsidR="0079795E" w:rsidRP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乳化剂产品来自于油脂，使用不饱和度比较高的油脂生产的乳化剂产品，在储存、运输等过程中，产品极易发生氧化，会影响产品的风味等性能。抗氧化剂可以对乳化剂产品进行保护</w:t>
      </w:r>
      <w:r w:rsidR="00C23F0F">
        <w:rPr>
          <w:rFonts w:ascii="Times New Roman" w:hAnsi="Times New Roman" w:hint="eastAsia"/>
        </w:rPr>
        <w:t>，</w:t>
      </w:r>
      <w:r w:rsidRPr="0079795E">
        <w:rPr>
          <w:rFonts w:ascii="Times New Roman" w:hAnsi="Times New Roman" w:hint="eastAsia"/>
        </w:rPr>
        <w:t>确保产品在货架期内的质量稳定。</w:t>
      </w:r>
      <w:r w:rsidR="005D0A24" w:rsidRPr="0044562A">
        <w:rPr>
          <w:rFonts w:ascii="Times New Roman" w:hAnsi="Times New Roman" w:hint="eastAsia"/>
        </w:rPr>
        <w:t>同时，为了使得所加入的抗氧化剂更易于分散，需要添加丙二醇作为载体</w:t>
      </w:r>
      <w:r w:rsidR="00C23F0F" w:rsidRPr="0044562A">
        <w:rPr>
          <w:rFonts w:ascii="Times New Roman" w:hAnsi="Times New Roman" w:hint="eastAsia"/>
        </w:rPr>
        <w:t>。</w:t>
      </w:r>
    </w:p>
    <w:p w14:paraId="6E1188CC" w14:textId="0B55355A" w:rsidR="0079795E" w:rsidRPr="0079795E" w:rsidRDefault="0079795E" w:rsidP="0079795E">
      <w:pPr>
        <w:spacing w:line="360" w:lineRule="auto"/>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sidRPr="0079795E">
        <w:rPr>
          <w:rFonts w:ascii="Times New Roman" w:hAnsi="Times New Roman" w:hint="eastAsia"/>
        </w:rPr>
        <w:t>酸度调节剂（如</w:t>
      </w:r>
      <w:r w:rsidR="005D0A24" w:rsidRPr="005D0A24">
        <w:rPr>
          <w:rFonts w:ascii="Times New Roman" w:hAnsi="Times New Roman" w:hint="eastAsia"/>
        </w:rPr>
        <w:t>柠檬酸及其盐类</w:t>
      </w:r>
      <w:r w:rsidRPr="0079795E">
        <w:rPr>
          <w:rFonts w:ascii="Times New Roman" w:hAnsi="Times New Roman" w:hint="eastAsia"/>
        </w:rPr>
        <w:t>）</w:t>
      </w:r>
    </w:p>
    <w:p w14:paraId="31B9ED5A" w14:textId="10E671A4" w:rsidR="0079795E" w:rsidRDefault="0079795E" w:rsidP="0079795E">
      <w:pPr>
        <w:spacing w:line="360" w:lineRule="auto"/>
        <w:ind w:firstLineChars="200" w:firstLine="420"/>
        <w:rPr>
          <w:rFonts w:ascii="Times New Roman" w:hAnsi="Times New Roman"/>
        </w:rPr>
      </w:pPr>
      <w:r w:rsidRPr="0079795E">
        <w:rPr>
          <w:rFonts w:ascii="Times New Roman" w:hAnsi="Times New Roman" w:hint="eastAsia"/>
        </w:rPr>
        <w:t>酸度调节剂可以协同维生素</w:t>
      </w:r>
      <w:r w:rsidRPr="0079795E">
        <w:rPr>
          <w:rFonts w:ascii="Times New Roman" w:hAnsi="Times New Roman" w:hint="eastAsia"/>
        </w:rPr>
        <w:t>E</w:t>
      </w:r>
      <w:r w:rsidR="005D0A24">
        <w:rPr>
          <w:rFonts w:ascii="Times New Roman" w:hAnsi="Times New Roman" w:hint="eastAsia"/>
        </w:rPr>
        <w:t>等抗氧化剂</w:t>
      </w:r>
      <w:r w:rsidRPr="0079795E">
        <w:rPr>
          <w:rFonts w:ascii="Times New Roman" w:hAnsi="Times New Roman" w:hint="eastAsia"/>
        </w:rPr>
        <w:t>发挥更好的抗氧化性能</w:t>
      </w:r>
      <w:r w:rsidR="008901A1">
        <w:rPr>
          <w:rFonts w:ascii="Times New Roman" w:hAnsi="Times New Roman" w:hint="eastAsia"/>
        </w:rPr>
        <w:t>，防止乳化剂产品酸败变质</w:t>
      </w:r>
      <w:r w:rsidRPr="0079795E">
        <w:rPr>
          <w:rFonts w:ascii="Times New Roman" w:hAnsi="Times New Roman" w:hint="eastAsia"/>
        </w:rPr>
        <w:t>。</w:t>
      </w:r>
    </w:p>
    <w:p w14:paraId="2823303A" w14:textId="0AD6086B" w:rsidR="0044562A" w:rsidRDefault="0044562A" w:rsidP="0079795E">
      <w:pPr>
        <w:spacing w:line="360" w:lineRule="auto"/>
        <w:ind w:firstLineChars="200" w:firstLine="420"/>
        <w:rPr>
          <w:rFonts w:ascii="黑体" w:eastAsia="黑体" w:hAnsi="黑体"/>
        </w:rPr>
      </w:pPr>
      <w:r>
        <w:rPr>
          <w:rFonts w:ascii="黑体" w:eastAsia="黑体" w:hAnsi="黑体" w:hint="eastAsia"/>
        </w:rPr>
        <w:t>A</w:t>
      </w:r>
      <w:r>
        <w:rPr>
          <w:rFonts w:ascii="黑体" w:eastAsia="黑体" w:hAnsi="黑体"/>
        </w:rPr>
        <w:t xml:space="preserve">.2.3.2 </w:t>
      </w:r>
      <w:r>
        <w:rPr>
          <w:rFonts w:ascii="黑体" w:eastAsia="黑体" w:hAnsi="黑体" w:hint="eastAsia"/>
        </w:rPr>
        <w:t>分析步骤</w:t>
      </w:r>
    </w:p>
    <w:p w14:paraId="0AFC4DB6" w14:textId="5C900169" w:rsidR="0044562A" w:rsidRPr="0044562A" w:rsidRDefault="0044562A" w:rsidP="0079795E">
      <w:pPr>
        <w:spacing w:line="360" w:lineRule="auto"/>
        <w:ind w:firstLineChars="200" w:firstLine="420"/>
        <w:rPr>
          <w:rFonts w:ascii="Times New Roman" w:hAnsi="Times New Roman"/>
        </w:rPr>
      </w:pPr>
      <w:r>
        <w:rPr>
          <w:rFonts w:ascii="Times New Roman" w:hAnsi="Times New Roman" w:hint="eastAsia"/>
          <w:szCs w:val="21"/>
        </w:rPr>
        <w:t>参考</w:t>
      </w:r>
      <w:r w:rsidRPr="0044562A">
        <w:rPr>
          <w:rFonts w:ascii="Times New Roman" w:hAnsi="Times New Roman" w:hint="eastAsia"/>
          <w:szCs w:val="21"/>
        </w:rPr>
        <w:t>国际食品法典委员会食品添加剂联合专家委员会（</w:t>
      </w:r>
      <w:r w:rsidRPr="0044562A">
        <w:rPr>
          <w:rFonts w:ascii="Times New Roman" w:hAnsi="Times New Roman" w:hint="eastAsia"/>
          <w:szCs w:val="21"/>
        </w:rPr>
        <w:t>JECFA</w:t>
      </w:r>
      <w:r w:rsidRPr="0044562A">
        <w:rPr>
          <w:rFonts w:ascii="Times New Roman" w:hAnsi="Times New Roman" w:hint="eastAsia"/>
          <w:szCs w:val="21"/>
        </w:rPr>
        <w:t>）、美国食品化学品法典（</w:t>
      </w:r>
      <w:r w:rsidRPr="0044562A">
        <w:rPr>
          <w:rFonts w:ascii="Times New Roman" w:hAnsi="Times New Roman" w:hint="eastAsia"/>
          <w:szCs w:val="21"/>
        </w:rPr>
        <w:t>FCC</w:t>
      </w:r>
      <w:r w:rsidRPr="0044562A">
        <w:rPr>
          <w:rFonts w:ascii="Times New Roman" w:hAnsi="Times New Roman" w:hint="eastAsia"/>
          <w:szCs w:val="21"/>
        </w:rPr>
        <w:t>）</w:t>
      </w:r>
      <w:r>
        <w:rPr>
          <w:rFonts w:ascii="Times New Roman" w:hAnsi="Times New Roman" w:hint="eastAsia"/>
          <w:szCs w:val="21"/>
        </w:rPr>
        <w:t>的鉴别试验，规定“</w:t>
      </w:r>
      <w:r w:rsidRPr="0044562A">
        <w:rPr>
          <w:rFonts w:ascii="Times New Roman" w:hAnsi="Times New Roman" w:hint="eastAsia"/>
          <w:szCs w:val="21"/>
        </w:rPr>
        <w:t xml:space="preserve">A.2.3 </w:t>
      </w:r>
      <w:r w:rsidRPr="0044562A">
        <w:rPr>
          <w:rFonts w:ascii="Times New Roman" w:hAnsi="Times New Roman" w:hint="eastAsia"/>
          <w:szCs w:val="21"/>
        </w:rPr>
        <w:t>蓖麻油酸试验</w:t>
      </w:r>
      <w:r>
        <w:rPr>
          <w:rFonts w:ascii="Times New Roman" w:hAnsi="Times New Roman" w:hint="eastAsia"/>
          <w:szCs w:val="21"/>
        </w:rPr>
        <w:t>”</w:t>
      </w:r>
      <w:r w:rsidRPr="0044562A">
        <w:rPr>
          <w:rFonts w:ascii="Times New Roman" w:hAnsi="Times New Roman" w:hint="eastAsia"/>
          <w:szCs w:val="21"/>
        </w:rPr>
        <w:t>应采用</w:t>
      </w:r>
      <w:r>
        <w:rPr>
          <w:rFonts w:ascii="Times New Roman" w:hAnsi="Times New Roman" w:hint="eastAsia"/>
          <w:szCs w:val="21"/>
        </w:rPr>
        <w:t>“</w:t>
      </w:r>
      <w:r w:rsidRPr="0044562A">
        <w:rPr>
          <w:rFonts w:ascii="Times New Roman" w:hAnsi="Times New Roman" w:hint="eastAsia"/>
          <w:szCs w:val="21"/>
        </w:rPr>
        <w:t xml:space="preserve">A.2.2 </w:t>
      </w:r>
      <w:r w:rsidRPr="0044562A">
        <w:rPr>
          <w:rFonts w:ascii="Times New Roman" w:hAnsi="Times New Roman" w:hint="eastAsia"/>
          <w:szCs w:val="21"/>
        </w:rPr>
        <w:t>脂肪酸试验</w:t>
      </w:r>
      <w:r>
        <w:rPr>
          <w:rFonts w:ascii="Times New Roman" w:hAnsi="Times New Roman" w:hint="eastAsia"/>
          <w:szCs w:val="21"/>
        </w:rPr>
        <w:t>”</w:t>
      </w:r>
      <w:r w:rsidRPr="0044562A">
        <w:rPr>
          <w:rFonts w:ascii="Times New Roman" w:hAnsi="Times New Roman" w:hint="eastAsia"/>
          <w:szCs w:val="21"/>
        </w:rPr>
        <w:t>中得到的脂肪酸进行检测，而不是直接称取样品试验</w:t>
      </w:r>
      <w:r w:rsidR="00FD4FDF">
        <w:rPr>
          <w:rFonts w:ascii="Times New Roman" w:hAnsi="Times New Roman" w:hint="eastAsia"/>
          <w:szCs w:val="21"/>
        </w:rPr>
        <w:t>，需要对标准相应内容进行修改。</w:t>
      </w:r>
    </w:p>
    <w:p w14:paraId="31F89CA4"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二、修订内容</w:t>
      </w:r>
    </w:p>
    <w:p w14:paraId="299E0C28" w14:textId="60C17705" w:rsidR="0098689D" w:rsidRPr="00FD4FDF" w:rsidRDefault="00495247" w:rsidP="00FD4FDF">
      <w:pPr>
        <w:spacing w:line="360" w:lineRule="auto"/>
        <w:ind w:firstLineChars="200" w:firstLine="420"/>
        <w:rPr>
          <w:rFonts w:ascii="黑体" w:eastAsia="黑体" w:hAnsi="黑体"/>
        </w:rPr>
      </w:pPr>
      <w:r w:rsidRPr="00FD4FDF">
        <w:rPr>
          <w:rFonts w:ascii="黑体" w:eastAsia="黑体" w:hAnsi="黑体"/>
        </w:rPr>
        <w:t>3</w:t>
      </w:r>
      <w:r w:rsidRPr="00FD4FDF">
        <w:rPr>
          <w:rFonts w:ascii="黑体" w:eastAsia="黑体" w:hAnsi="黑体" w:hint="eastAsia"/>
        </w:rPr>
        <w:t>.</w:t>
      </w:r>
      <w:r w:rsidRPr="00FD4FDF">
        <w:rPr>
          <w:rFonts w:ascii="黑体" w:eastAsia="黑体" w:hAnsi="黑体"/>
        </w:rPr>
        <w:t>2</w:t>
      </w:r>
      <w:r w:rsidRPr="00FD4FDF">
        <w:rPr>
          <w:rFonts w:ascii="黑体" w:eastAsia="黑体" w:hAnsi="黑体" w:hint="eastAsia"/>
        </w:rPr>
        <w:t xml:space="preserve"> 理化指标</w:t>
      </w:r>
    </w:p>
    <w:p w14:paraId="2F45266F" w14:textId="3E50B104" w:rsidR="0098689D" w:rsidRDefault="00491FC9">
      <w:pPr>
        <w:spacing w:line="360" w:lineRule="auto"/>
        <w:ind w:firstLineChars="200" w:firstLine="420"/>
        <w:rPr>
          <w:rFonts w:ascii="Times New Roman" w:hAnsi="Times New Roman"/>
          <w:szCs w:val="21"/>
        </w:rPr>
      </w:pPr>
      <w:r>
        <w:rPr>
          <w:rFonts w:ascii="Times New Roman" w:hAnsi="Times New Roman" w:hint="eastAsia"/>
          <w:szCs w:val="21"/>
        </w:rPr>
        <w:t>增加表</w:t>
      </w:r>
      <w:r>
        <w:rPr>
          <w:rFonts w:ascii="Times New Roman" w:hAnsi="Times New Roman" w:hint="eastAsia"/>
          <w:szCs w:val="21"/>
        </w:rPr>
        <w:t>2</w:t>
      </w:r>
      <w:r>
        <w:rPr>
          <w:rFonts w:ascii="Times New Roman" w:hAnsi="Times New Roman" w:hint="eastAsia"/>
          <w:szCs w:val="21"/>
        </w:rPr>
        <w:t>注</w:t>
      </w:r>
      <w:r w:rsidRPr="002B2776">
        <w:rPr>
          <w:rFonts w:ascii="Times New Roman" w:hAnsi="Times New Roman"/>
          <w:szCs w:val="21"/>
        </w:rPr>
        <w:t>“</w:t>
      </w:r>
      <w:r w:rsidRPr="00883515">
        <w:rPr>
          <w:rFonts w:ascii="Times New Roman" w:hAnsi="Times New Roman" w:hint="eastAsia"/>
          <w:szCs w:val="21"/>
        </w:rPr>
        <w:t>商品化的</w:t>
      </w:r>
      <w:r w:rsidRPr="006D0325">
        <w:rPr>
          <w:rFonts w:ascii="Times New Roman" w:hAnsi="Times New Roman" w:hint="eastAsia"/>
          <w:szCs w:val="21"/>
        </w:rPr>
        <w:t>聚甘油蓖麻醇酸脂</w:t>
      </w:r>
      <w:r w:rsidRPr="00883515">
        <w:rPr>
          <w:rFonts w:ascii="Times New Roman" w:hAnsi="Times New Roman" w:hint="eastAsia"/>
          <w:szCs w:val="21"/>
        </w:rPr>
        <w:t>产品应以符合本标准的</w:t>
      </w:r>
      <w:r w:rsidRPr="006D0325">
        <w:rPr>
          <w:rFonts w:ascii="Times New Roman" w:hAnsi="Times New Roman" w:hint="eastAsia"/>
          <w:szCs w:val="21"/>
        </w:rPr>
        <w:t>聚甘油蓖麻醇酸脂</w:t>
      </w:r>
      <w:r w:rsidRPr="00883515">
        <w:rPr>
          <w:rFonts w:ascii="Times New Roman" w:hAnsi="Times New Roman" w:hint="eastAsia"/>
          <w:szCs w:val="21"/>
        </w:rPr>
        <w:t>为原料，</w:t>
      </w:r>
      <w:r w:rsidRPr="00A660D1">
        <w:rPr>
          <w:rFonts w:ascii="Times New Roman" w:hAnsi="Times New Roman" w:hint="eastAsia"/>
          <w:szCs w:val="21"/>
        </w:rPr>
        <w:t>可添加</w:t>
      </w:r>
      <w:r>
        <w:rPr>
          <w:rFonts w:ascii="Times New Roman" w:hAnsi="Times New Roman" w:hint="eastAsia"/>
          <w:szCs w:val="21"/>
        </w:rPr>
        <w:t>用于标准化目的</w:t>
      </w:r>
      <w:r w:rsidRPr="00A660D1">
        <w:rPr>
          <w:rFonts w:ascii="Times New Roman" w:hAnsi="Times New Roman" w:hint="eastAsia"/>
          <w:szCs w:val="21"/>
        </w:rPr>
        <w:t>的</w:t>
      </w:r>
      <w:r w:rsidRPr="00883515">
        <w:rPr>
          <w:rFonts w:ascii="Times New Roman" w:hAnsi="Times New Roman" w:hint="eastAsia"/>
          <w:szCs w:val="21"/>
        </w:rPr>
        <w:t>食品</w:t>
      </w:r>
      <w:r>
        <w:rPr>
          <w:rFonts w:ascii="Times New Roman" w:hAnsi="Times New Roman" w:hint="eastAsia"/>
          <w:szCs w:val="21"/>
        </w:rPr>
        <w:t>原料</w:t>
      </w:r>
      <w:r w:rsidRPr="00883515">
        <w:rPr>
          <w:rFonts w:ascii="Times New Roman" w:hAnsi="Times New Roman" w:hint="eastAsia"/>
          <w:szCs w:val="21"/>
        </w:rPr>
        <w:t>和（或）</w:t>
      </w:r>
      <w:r w:rsidRPr="00A660D1">
        <w:rPr>
          <w:rFonts w:ascii="Times New Roman" w:hAnsi="Times New Roman" w:hint="eastAsia"/>
          <w:szCs w:val="21"/>
        </w:rPr>
        <w:t>符合食品添加剂质量规格要求的</w:t>
      </w:r>
      <w:r>
        <w:rPr>
          <w:rFonts w:ascii="Times New Roman" w:hAnsi="Times New Roman" w:hint="eastAsia"/>
          <w:szCs w:val="21"/>
        </w:rPr>
        <w:t>抗氧化剂、酸度调节剂</w:t>
      </w:r>
      <w:r w:rsidRPr="00CB6068">
        <w:rPr>
          <w:rFonts w:ascii="Times New Roman" w:hAnsi="Times New Roman" w:hint="eastAsia"/>
          <w:szCs w:val="21"/>
        </w:rPr>
        <w:t>以及作为抗氧化剂载体的丙二醇</w:t>
      </w:r>
      <w:r w:rsidRPr="00883515">
        <w:rPr>
          <w:rFonts w:ascii="Times New Roman" w:hAnsi="Times New Roman" w:hint="eastAsia"/>
          <w:szCs w:val="21"/>
        </w:rPr>
        <w:t>。</w:t>
      </w:r>
      <w:r w:rsidRPr="002B2776">
        <w:rPr>
          <w:rFonts w:ascii="Times New Roman" w:hAnsi="Times New Roman"/>
          <w:szCs w:val="21"/>
        </w:rPr>
        <w:t>”</w:t>
      </w:r>
    </w:p>
    <w:p w14:paraId="1028FB89" w14:textId="77777777" w:rsidR="00FD4FDF" w:rsidRPr="00FD4FDF" w:rsidRDefault="00FD4FDF" w:rsidP="00FD4FDF">
      <w:pPr>
        <w:spacing w:line="360" w:lineRule="auto"/>
        <w:ind w:firstLineChars="200" w:firstLine="420"/>
        <w:rPr>
          <w:rFonts w:ascii="黑体" w:eastAsia="黑体" w:hAnsi="黑体"/>
        </w:rPr>
      </w:pPr>
      <w:r w:rsidRPr="00FD4FDF">
        <w:rPr>
          <w:rFonts w:ascii="黑体" w:eastAsia="黑体" w:hAnsi="黑体" w:hint="eastAsia"/>
        </w:rPr>
        <w:lastRenderedPageBreak/>
        <w:t>A</w:t>
      </w:r>
      <w:r w:rsidRPr="00FD4FDF">
        <w:rPr>
          <w:rFonts w:ascii="黑体" w:eastAsia="黑体" w:hAnsi="黑体"/>
        </w:rPr>
        <w:t xml:space="preserve">.2.3.2 </w:t>
      </w:r>
      <w:r w:rsidRPr="00FD4FDF">
        <w:rPr>
          <w:rFonts w:ascii="黑体" w:eastAsia="黑体" w:hAnsi="黑体" w:hint="eastAsia"/>
        </w:rPr>
        <w:t>分析步骤</w:t>
      </w:r>
    </w:p>
    <w:p w14:paraId="11B96373" w14:textId="0F46788F" w:rsidR="00FD4FDF" w:rsidRDefault="00FD4FDF" w:rsidP="00FD4FDF">
      <w:pPr>
        <w:spacing w:line="360" w:lineRule="auto"/>
        <w:ind w:firstLineChars="200" w:firstLine="420"/>
        <w:rPr>
          <w:rFonts w:ascii="Times New Roman" w:hAnsi="Times New Roman"/>
          <w:szCs w:val="21"/>
        </w:rPr>
      </w:pPr>
      <w:r>
        <w:rPr>
          <w:rFonts w:ascii="Times New Roman" w:hAnsi="Times New Roman" w:hint="eastAsia"/>
          <w:szCs w:val="21"/>
        </w:rPr>
        <w:t>将</w:t>
      </w:r>
      <w:r w:rsidRPr="000F77FE">
        <w:rPr>
          <w:rFonts w:ascii="Times New Roman" w:hAnsi="Times New Roman"/>
          <w:szCs w:val="21"/>
        </w:rPr>
        <w:t>“</w:t>
      </w:r>
      <w:r w:rsidRPr="000F77FE">
        <w:rPr>
          <w:rFonts w:ascii="Times New Roman" w:hAnsi="Times New Roman"/>
          <w:szCs w:val="21"/>
        </w:rPr>
        <w:t>称取约</w:t>
      </w:r>
      <w:r w:rsidRPr="000F77FE">
        <w:rPr>
          <w:rFonts w:ascii="Times New Roman" w:hAnsi="Times New Roman"/>
          <w:szCs w:val="21"/>
        </w:rPr>
        <w:t>2.2 g</w:t>
      </w:r>
      <w:r w:rsidRPr="000F77FE">
        <w:rPr>
          <w:rFonts w:ascii="Times New Roman" w:hAnsi="Times New Roman"/>
          <w:szCs w:val="21"/>
        </w:rPr>
        <w:t>样品</w:t>
      </w:r>
      <w:r w:rsidRPr="000F77FE">
        <w:rPr>
          <w:rFonts w:ascii="Times New Roman" w:hAnsi="Times New Roman"/>
          <w:szCs w:val="21"/>
        </w:rPr>
        <w:t>”</w:t>
      </w:r>
      <w:r w:rsidRPr="000F77FE">
        <w:rPr>
          <w:rFonts w:ascii="Times New Roman" w:hAnsi="Times New Roman"/>
          <w:szCs w:val="21"/>
        </w:rPr>
        <w:t>修改为</w:t>
      </w:r>
      <w:r w:rsidRPr="000F77FE">
        <w:rPr>
          <w:rFonts w:ascii="Times New Roman" w:hAnsi="Times New Roman"/>
          <w:szCs w:val="21"/>
        </w:rPr>
        <w:t>“</w:t>
      </w:r>
      <w:r w:rsidRPr="000F77FE">
        <w:rPr>
          <w:rFonts w:ascii="Times New Roman" w:hAnsi="Times New Roman"/>
          <w:szCs w:val="21"/>
        </w:rPr>
        <w:t>称取</w:t>
      </w:r>
      <w:r w:rsidRPr="000F77FE">
        <w:rPr>
          <w:rFonts w:ascii="Times New Roman" w:hAnsi="Times New Roman" w:hint="eastAsia"/>
          <w:szCs w:val="21"/>
        </w:rPr>
        <w:t>A.2.2</w:t>
      </w:r>
      <w:r w:rsidRPr="000F77FE">
        <w:rPr>
          <w:rFonts w:ascii="Times New Roman" w:hAnsi="Times New Roman" w:hint="eastAsia"/>
          <w:szCs w:val="21"/>
        </w:rPr>
        <w:t>脂肪酸试验</w:t>
      </w:r>
      <w:r>
        <w:rPr>
          <w:rFonts w:ascii="Times New Roman" w:hAnsi="Times New Roman" w:hint="eastAsia"/>
          <w:szCs w:val="21"/>
        </w:rPr>
        <w:t>中所</w:t>
      </w:r>
      <w:r w:rsidRPr="000F77FE">
        <w:rPr>
          <w:rFonts w:ascii="Times New Roman" w:hAnsi="Times New Roman" w:hint="eastAsia"/>
          <w:szCs w:val="21"/>
        </w:rPr>
        <w:t>得的脂肪酸</w:t>
      </w:r>
      <w:r w:rsidRPr="000F77FE">
        <w:rPr>
          <w:rFonts w:ascii="Times New Roman" w:hAnsi="Times New Roman"/>
          <w:szCs w:val="21"/>
        </w:rPr>
        <w:t>”</w:t>
      </w:r>
      <w:r>
        <w:rPr>
          <w:rFonts w:ascii="Times New Roman" w:hAnsi="Times New Roman" w:hint="eastAsia"/>
          <w:szCs w:val="21"/>
        </w:rPr>
        <w:t>。</w:t>
      </w:r>
    </w:p>
    <w:p w14:paraId="0AE04A3E"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三、征求意见情况</w:t>
      </w:r>
    </w:p>
    <w:p w14:paraId="598CDECD" w14:textId="3C32CC89" w:rsidR="0098689D" w:rsidRDefault="00495247">
      <w:pPr>
        <w:spacing w:line="360" w:lineRule="auto"/>
        <w:ind w:firstLineChars="200" w:firstLine="420"/>
        <w:rPr>
          <w:rFonts w:ascii="Times New Roman" w:hAnsi="宋体"/>
          <w:szCs w:val="21"/>
        </w:rPr>
      </w:pPr>
      <w:r>
        <w:rPr>
          <w:rFonts w:ascii="Times New Roman" w:hAnsi="Times New Roman" w:hint="eastAsia"/>
          <w:szCs w:val="21"/>
        </w:rPr>
        <w:t>暂无</w:t>
      </w:r>
      <w:r>
        <w:rPr>
          <w:rFonts w:ascii="Times New Roman" w:hAnsi="宋体" w:hint="eastAsia"/>
          <w:szCs w:val="21"/>
        </w:rPr>
        <w:t>。</w:t>
      </w:r>
    </w:p>
    <w:p w14:paraId="0C4C33BF" w14:textId="77777777" w:rsidR="0098689D" w:rsidRDefault="00000000">
      <w:pPr>
        <w:spacing w:line="360" w:lineRule="auto"/>
        <w:ind w:firstLineChars="200" w:firstLine="420"/>
        <w:rPr>
          <w:rFonts w:ascii="黑体" w:eastAsia="黑体" w:hAnsi="黑体"/>
          <w:szCs w:val="21"/>
        </w:rPr>
      </w:pPr>
      <w:r>
        <w:rPr>
          <w:rFonts w:ascii="黑体" w:eastAsia="黑体" w:hAnsi="黑体" w:hint="eastAsia"/>
          <w:szCs w:val="21"/>
        </w:rPr>
        <w:t>四、审查情况</w:t>
      </w:r>
    </w:p>
    <w:p w14:paraId="48E8A55F" w14:textId="082C1AB9" w:rsidR="00734695" w:rsidRPr="00734695" w:rsidRDefault="00495247" w:rsidP="00E57231">
      <w:pPr>
        <w:widowControl/>
        <w:spacing w:line="360" w:lineRule="auto"/>
        <w:ind w:firstLineChars="200" w:firstLine="420"/>
        <w:rPr>
          <w:rFonts w:ascii="Times New Roman" w:hAnsi="Times New Roman"/>
          <w:szCs w:val="21"/>
        </w:rPr>
      </w:pPr>
      <w:r>
        <w:rPr>
          <w:rFonts w:ascii="Times New Roman" w:hAnsi="Times New Roman" w:hint="eastAsia"/>
          <w:szCs w:val="21"/>
        </w:rPr>
        <w:t>暂无</w:t>
      </w:r>
      <w:r w:rsidR="00E57231" w:rsidRPr="00E57231">
        <w:rPr>
          <w:rFonts w:ascii="Times New Roman" w:hAnsi="Times New Roman" w:hint="eastAsia"/>
          <w:szCs w:val="21"/>
        </w:rPr>
        <w:t>。</w:t>
      </w:r>
    </w:p>
    <w:sectPr w:rsidR="00734695" w:rsidRPr="007346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1D814" w14:textId="77777777" w:rsidR="00055353" w:rsidRDefault="00055353" w:rsidP="00B41451">
      <w:r>
        <w:separator/>
      </w:r>
    </w:p>
  </w:endnote>
  <w:endnote w:type="continuationSeparator" w:id="0">
    <w:p w14:paraId="37BC3F4A" w14:textId="77777777" w:rsidR="00055353" w:rsidRDefault="00055353" w:rsidP="00B41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674B1" w14:textId="77777777" w:rsidR="00055353" w:rsidRDefault="00055353" w:rsidP="00B41451">
      <w:r>
        <w:separator/>
      </w:r>
    </w:p>
  </w:footnote>
  <w:footnote w:type="continuationSeparator" w:id="0">
    <w:p w14:paraId="53DEBCF8" w14:textId="77777777" w:rsidR="00055353" w:rsidRDefault="00055353" w:rsidP="00B41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8B1B2B"/>
    <w:multiLevelType w:val="hybridMultilevel"/>
    <w:tmpl w:val="F138A026"/>
    <w:lvl w:ilvl="0" w:tplc="65D2ABF6">
      <w:start w:val="1"/>
      <w:numFmt w:val="bullet"/>
      <w:lvlText w:val="•"/>
      <w:lvlJc w:val="left"/>
      <w:pPr>
        <w:tabs>
          <w:tab w:val="num" w:pos="720"/>
        </w:tabs>
        <w:ind w:left="720" w:hanging="360"/>
      </w:pPr>
      <w:rPr>
        <w:rFonts w:ascii="Arial" w:hAnsi="Arial" w:hint="default"/>
      </w:rPr>
    </w:lvl>
    <w:lvl w:ilvl="1" w:tplc="68388C88" w:tentative="1">
      <w:start w:val="1"/>
      <w:numFmt w:val="bullet"/>
      <w:lvlText w:val="•"/>
      <w:lvlJc w:val="left"/>
      <w:pPr>
        <w:tabs>
          <w:tab w:val="num" w:pos="1440"/>
        </w:tabs>
        <w:ind w:left="1440" w:hanging="360"/>
      </w:pPr>
      <w:rPr>
        <w:rFonts w:ascii="Arial" w:hAnsi="Arial" w:hint="default"/>
      </w:rPr>
    </w:lvl>
    <w:lvl w:ilvl="2" w:tplc="9F1A30AA" w:tentative="1">
      <w:start w:val="1"/>
      <w:numFmt w:val="bullet"/>
      <w:lvlText w:val="•"/>
      <w:lvlJc w:val="left"/>
      <w:pPr>
        <w:tabs>
          <w:tab w:val="num" w:pos="2160"/>
        </w:tabs>
        <w:ind w:left="2160" w:hanging="360"/>
      </w:pPr>
      <w:rPr>
        <w:rFonts w:ascii="Arial" w:hAnsi="Arial" w:hint="default"/>
      </w:rPr>
    </w:lvl>
    <w:lvl w:ilvl="3" w:tplc="301AACF8" w:tentative="1">
      <w:start w:val="1"/>
      <w:numFmt w:val="bullet"/>
      <w:lvlText w:val="•"/>
      <w:lvlJc w:val="left"/>
      <w:pPr>
        <w:tabs>
          <w:tab w:val="num" w:pos="2880"/>
        </w:tabs>
        <w:ind w:left="2880" w:hanging="360"/>
      </w:pPr>
      <w:rPr>
        <w:rFonts w:ascii="Arial" w:hAnsi="Arial" w:hint="default"/>
      </w:rPr>
    </w:lvl>
    <w:lvl w:ilvl="4" w:tplc="170445EA" w:tentative="1">
      <w:start w:val="1"/>
      <w:numFmt w:val="bullet"/>
      <w:lvlText w:val="•"/>
      <w:lvlJc w:val="left"/>
      <w:pPr>
        <w:tabs>
          <w:tab w:val="num" w:pos="3600"/>
        </w:tabs>
        <w:ind w:left="3600" w:hanging="360"/>
      </w:pPr>
      <w:rPr>
        <w:rFonts w:ascii="Arial" w:hAnsi="Arial" w:hint="default"/>
      </w:rPr>
    </w:lvl>
    <w:lvl w:ilvl="5" w:tplc="A32EA73A" w:tentative="1">
      <w:start w:val="1"/>
      <w:numFmt w:val="bullet"/>
      <w:lvlText w:val="•"/>
      <w:lvlJc w:val="left"/>
      <w:pPr>
        <w:tabs>
          <w:tab w:val="num" w:pos="4320"/>
        </w:tabs>
        <w:ind w:left="4320" w:hanging="360"/>
      </w:pPr>
      <w:rPr>
        <w:rFonts w:ascii="Arial" w:hAnsi="Arial" w:hint="default"/>
      </w:rPr>
    </w:lvl>
    <w:lvl w:ilvl="6" w:tplc="F9EA2378" w:tentative="1">
      <w:start w:val="1"/>
      <w:numFmt w:val="bullet"/>
      <w:lvlText w:val="•"/>
      <w:lvlJc w:val="left"/>
      <w:pPr>
        <w:tabs>
          <w:tab w:val="num" w:pos="5040"/>
        </w:tabs>
        <w:ind w:left="5040" w:hanging="360"/>
      </w:pPr>
      <w:rPr>
        <w:rFonts w:ascii="Arial" w:hAnsi="Arial" w:hint="default"/>
      </w:rPr>
    </w:lvl>
    <w:lvl w:ilvl="7" w:tplc="FF6439EA" w:tentative="1">
      <w:start w:val="1"/>
      <w:numFmt w:val="bullet"/>
      <w:lvlText w:val="•"/>
      <w:lvlJc w:val="left"/>
      <w:pPr>
        <w:tabs>
          <w:tab w:val="num" w:pos="5760"/>
        </w:tabs>
        <w:ind w:left="5760" w:hanging="360"/>
      </w:pPr>
      <w:rPr>
        <w:rFonts w:ascii="Arial" w:hAnsi="Arial" w:hint="default"/>
      </w:rPr>
    </w:lvl>
    <w:lvl w:ilvl="8" w:tplc="15E2FAC4" w:tentative="1">
      <w:start w:val="1"/>
      <w:numFmt w:val="bullet"/>
      <w:lvlText w:val="•"/>
      <w:lvlJc w:val="left"/>
      <w:pPr>
        <w:tabs>
          <w:tab w:val="num" w:pos="6480"/>
        </w:tabs>
        <w:ind w:left="6480" w:hanging="360"/>
      </w:pPr>
      <w:rPr>
        <w:rFonts w:ascii="Arial" w:hAnsi="Arial" w:hint="default"/>
      </w:rPr>
    </w:lvl>
  </w:abstractNum>
  <w:num w:numId="1" w16cid:durableId="603194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RhYzk4M2JiZmZmZDY1OTQ3YWFlZTE2ZTc0Mjc2NzYifQ=="/>
  </w:docVars>
  <w:rsids>
    <w:rsidRoot w:val="00C13D64"/>
    <w:rsid w:val="000110AD"/>
    <w:rsid w:val="0001147D"/>
    <w:rsid w:val="00035CD5"/>
    <w:rsid w:val="000370CB"/>
    <w:rsid w:val="000376EF"/>
    <w:rsid w:val="00043EE5"/>
    <w:rsid w:val="00050465"/>
    <w:rsid w:val="0005348B"/>
    <w:rsid w:val="00055353"/>
    <w:rsid w:val="0007094E"/>
    <w:rsid w:val="0007180E"/>
    <w:rsid w:val="00084969"/>
    <w:rsid w:val="00090CCB"/>
    <w:rsid w:val="000A1A56"/>
    <w:rsid w:val="000C0D5E"/>
    <w:rsid w:val="000D7352"/>
    <w:rsid w:val="000E028A"/>
    <w:rsid w:val="000E6555"/>
    <w:rsid w:val="00117932"/>
    <w:rsid w:val="00117CCF"/>
    <w:rsid w:val="00127CC8"/>
    <w:rsid w:val="00153298"/>
    <w:rsid w:val="001743BC"/>
    <w:rsid w:val="001914B6"/>
    <w:rsid w:val="001B1701"/>
    <w:rsid w:val="001D227D"/>
    <w:rsid w:val="001D3D93"/>
    <w:rsid w:val="00211882"/>
    <w:rsid w:val="002125BB"/>
    <w:rsid w:val="002458BF"/>
    <w:rsid w:val="002514A4"/>
    <w:rsid w:val="002966EA"/>
    <w:rsid w:val="002B0FB9"/>
    <w:rsid w:val="002B5985"/>
    <w:rsid w:val="002B76B3"/>
    <w:rsid w:val="002C1865"/>
    <w:rsid w:val="002D3A6E"/>
    <w:rsid w:val="002E0D73"/>
    <w:rsid w:val="002E5D3A"/>
    <w:rsid w:val="00327245"/>
    <w:rsid w:val="003539BF"/>
    <w:rsid w:val="00357E1B"/>
    <w:rsid w:val="0037575D"/>
    <w:rsid w:val="003834DE"/>
    <w:rsid w:val="00394F18"/>
    <w:rsid w:val="00395D08"/>
    <w:rsid w:val="003C3961"/>
    <w:rsid w:val="003C6DCD"/>
    <w:rsid w:val="003D4DC2"/>
    <w:rsid w:val="003E47A7"/>
    <w:rsid w:val="003F2C5E"/>
    <w:rsid w:val="004162A5"/>
    <w:rsid w:val="00430870"/>
    <w:rsid w:val="00431991"/>
    <w:rsid w:val="004430B9"/>
    <w:rsid w:val="0044562A"/>
    <w:rsid w:val="0049104A"/>
    <w:rsid w:val="00491FC9"/>
    <w:rsid w:val="00495247"/>
    <w:rsid w:val="004B7423"/>
    <w:rsid w:val="004C2926"/>
    <w:rsid w:val="004C6252"/>
    <w:rsid w:val="0050389F"/>
    <w:rsid w:val="00526A57"/>
    <w:rsid w:val="005308E2"/>
    <w:rsid w:val="005331D1"/>
    <w:rsid w:val="005354F8"/>
    <w:rsid w:val="005632DD"/>
    <w:rsid w:val="005652A2"/>
    <w:rsid w:val="0058248A"/>
    <w:rsid w:val="005D0A24"/>
    <w:rsid w:val="005E21C9"/>
    <w:rsid w:val="005F2D4B"/>
    <w:rsid w:val="005F4E4A"/>
    <w:rsid w:val="005F6160"/>
    <w:rsid w:val="00605B93"/>
    <w:rsid w:val="00614AF1"/>
    <w:rsid w:val="00646B8F"/>
    <w:rsid w:val="00653F68"/>
    <w:rsid w:val="00673E1A"/>
    <w:rsid w:val="00697130"/>
    <w:rsid w:val="006E0301"/>
    <w:rsid w:val="00727E0B"/>
    <w:rsid w:val="0073227A"/>
    <w:rsid w:val="00734695"/>
    <w:rsid w:val="007376FC"/>
    <w:rsid w:val="0074353E"/>
    <w:rsid w:val="00765C84"/>
    <w:rsid w:val="00785706"/>
    <w:rsid w:val="0079795E"/>
    <w:rsid w:val="007B6D30"/>
    <w:rsid w:val="008005CA"/>
    <w:rsid w:val="0080373A"/>
    <w:rsid w:val="008041C5"/>
    <w:rsid w:val="008105CD"/>
    <w:rsid w:val="00812FBB"/>
    <w:rsid w:val="008303F2"/>
    <w:rsid w:val="00830AB4"/>
    <w:rsid w:val="00840AEF"/>
    <w:rsid w:val="00854B2C"/>
    <w:rsid w:val="0086488F"/>
    <w:rsid w:val="008901A1"/>
    <w:rsid w:val="008A1305"/>
    <w:rsid w:val="008A5686"/>
    <w:rsid w:val="008B12A2"/>
    <w:rsid w:val="008B714A"/>
    <w:rsid w:val="008C1561"/>
    <w:rsid w:val="008D7D2A"/>
    <w:rsid w:val="009148D2"/>
    <w:rsid w:val="0091689A"/>
    <w:rsid w:val="00921919"/>
    <w:rsid w:val="009330D8"/>
    <w:rsid w:val="00956FF3"/>
    <w:rsid w:val="009824D4"/>
    <w:rsid w:val="0098689D"/>
    <w:rsid w:val="00997E15"/>
    <w:rsid w:val="009F7465"/>
    <w:rsid w:val="00A13CB8"/>
    <w:rsid w:val="00A15C2E"/>
    <w:rsid w:val="00A37867"/>
    <w:rsid w:val="00A43249"/>
    <w:rsid w:val="00A65A2C"/>
    <w:rsid w:val="00A7244B"/>
    <w:rsid w:val="00A950F0"/>
    <w:rsid w:val="00AA2D52"/>
    <w:rsid w:val="00AB5DFD"/>
    <w:rsid w:val="00AD318F"/>
    <w:rsid w:val="00B31598"/>
    <w:rsid w:val="00B41451"/>
    <w:rsid w:val="00B51A66"/>
    <w:rsid w:val="00B972BA"/>
    <w:rsid w:val="00BA097D"/>
    <w:rsid w:val="00BE28F2"/>
    <w:rsid w:val="00BF5A0C"/>
    <w:rsid w:val="00C13D64"/>
    <w:rsid w:val="00C149ED"/>
    <w:rsid w:val="00C23F0F"/>
    <w:rsid w:val="00C26A2B"/>
    <w:rsid w:val="00C27673"/>
    <w:rsid w:val="00C30EA0"/>
    <w:rsid w:val="00C317E2"/>
    <w:rsid w:val="00C84DA5"/>
    <w:rsid w:val="00CA6B3C"/>
    <w:rsid w:val="00CD685A"/>
    <w:rsid w:val="00CE713B"/>
    <w:rsid w:val="00CF42DD"/>
    <w:rsid w:val="00CF6102"/>
    <w:rsid w:val="00D00CC7"/>
    <w:rsid w:val="00D51C8B"/>
    <w:rsid w:val="00D74399"/>
    <w:rsid w:val="00DA6D83"/>
    <w:rsid w:val="00DD16A1"/>
    <w:rsid w:val="00DE0577"/>
    <w:rsid w:val="00DF1B22"/>
    <w:rsid w:val="00E4736B"/>
    <w:rsid w:val="00E57231"/>
    <w:rsid w:val="00E615FA"/>
    <w:rsid w:val="00E617D6"/>
    <w:rsid w:val="00E8616F"/>
    <w:rsid w:val="00E915F5"/>
    <w:rsid w:val="00EB4446"/>
    <w:rsid w:val="00EB54E1"/>
    <w:rsid w:val="00EC54DB"/>
    <w:rsid w:val="00F45204"/>
    <w:rsid w:val="00F631DC"/>
    <w:rsid w:val="00FA1191"/>
    <w:rsid w:val="00FC3369"/>
    <w:rsid w:val="00FD4FDF"/>
    <w:rsid w:val="00FE1348"/>
    <w:rsid w:val="00FF4A82"/>
    <w:rsid w:val="00FF6316"/>
    <w:rsid w:val="1CBA632D"/>
    <w:rsid w:val="1DD40BBF"/>
    <w:rsid w:val="2B626157"/>
    <w:rsid w:val="31C33E03"/>
    <w:rsid w:val="3CE378CF"/>
    <w:rsid w:val="3D0B54B4"/>
    <w:rsid w:val="67526854"/>
    <w:rsid w:val="6E712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C5D987"/>
  <w15:docId w15:val="{E8E9F66A-28F2-455A-BAD5-9C377E3EF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alloon Text"/>
    <w:basedOn w:val="a"/>
    <w:link w:val="a5"/>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hAnsi="宋体" w:cs="宋体"/>
      <w:kern w:val="0"/>
      <w:sz w:val="24"/>
      <w:szCs w:val="24"/>
    </w:rPr>
  </w:style>
  <w:style w:type="character" w:styleId="ab">
    <w:name w:val="annotation reference"/>
    <w:basedOn w:val="a0"/>
    <w:semiHidden/>
    <w:unhideWhenUsed/>
    <w:qFormat/>
    <w:rPr>
      <w:sz w:val="21"/>
      <w:szCs w:val="21"/>
    </w:rPr>
  </w:style>
  <w:style w:type="paragraph" w:customStyle="1" w:styleId="1">
    <w:name w:val="列出段落1"/>
    <w:basedOn w:val="a"/>
    <w:uiPriority w:val="34"/>
    <w:qFormat/>
    <w:pPr>
      <w:ind w:firstLineChars="200" w:firstLine="420"/>
    </w:pPr>
  </w:style>
  <w:style w:type="paragraph" w:customStyle="1" w:styleId="p0">
    <w:name w:val="p0"/>
    <w:basedOn w:val="a"/>
    <w:qFormat/>
    <w:pPr>
      <w:widowControl/>
    </w:pPr>
    <w:rPr>
      <w:rFonts w:cs="宋体"/>
      <w:kern w:val="0"/>
      <w:szCs w:val="21"/>
    </w:rPr>
  </w:style>
  <w:style w:type="character" w:customStyle="1" w:styleId="a9">
    <w:name w:val="页眉 字符"/>
    <w:basedOn w:val="a0"/>
    <w:link w:val="a8"/>
    <w:uiPriority w:val="99"/>
    <w:semiHidden/>
    <w:qFormat/>
    <w:rPr>
      <w:rFonts w:ascii="Calibri" w:eastAsia="宋体" w:hAnsi="Calibri" w:cs="Times New Roman"/>
      <w:sz w:val="18"/>
      <w:szCs w:val="18"/>
    </w:rPr>
  </w:style>
  <w:style w:type="character" w:customStyle="1" w:styleId="a7">
    <w:name w:val="页脚 字符"/>
    <w:basedOn w:val="a0"/>
    <w:link w:val="a6"/>
    <w:uiPriority w:val="99"/>
    <w:semiHidden/>
    <w:qFormat/>
    <w:rPr>
      <w:rFonts w:ascii="Calibri" w:eastAsia="宋体" w:hAnsi="Calibri" w:cs="Times New Roman"/>
      <w:sz w:val="18"/>
      <w:szCs w:val="18"/>
    </w:rPr>
  </w:style>
  <w:style w:type="character" w:customStyle="1" w:styleId="a5">
    <w:name w:val="批注框文本 字符"/>
    <w:basedOn w:val="a0"/>
    <w:link w:val="a4"/>
    <w:semiHidden/>
    <w:qFormat/>
    <w:rPr>
      <w:rFonts w:ascii="Calibri" w:hAnsi="Calibri"/>
      <w:kern w:val="2"/>
      <w:sz w:val="18"/>
      <w:szCs w:val="18"/>
    </w:rPr>
  </w:style>
  <w:style w:type="paragraph" w:styleId="ac">
    <w:name w:val="Revision"/>
    <w:hidden/>
    <w:uiPriority w:val="99"/>
    <w:semiHidden/>
    <w:rsid w:val="00B41451"/>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0788">
      <w:bodyDiv w:val="1"/>
      <w:marLeft w:val="0"/>
      <w:marRight w:val="0"/>
      <w:marTop w:val="0"/>
      <w:marBottom w:val="0"/>
      <w:divBdr>
        <w:top w:val="none" w:sz="0" w:space="0" w:color="auto"/>
        <w:left w:val="none" w:sz="0" w:space="0" w:color="auto"/>
        <w:bottom w:val="none" w:sz="0" w:space="0" w:color="auto"/>
        <w:right w:val="none" w:sz="0" w:space="0" w:color="auto"/>
      </w:divBdr>
      <w:divsChild>
        <w:div w:id="385839530">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《食品安全国家标准 食品用香精》（GB 30616-2014）</dc:title>
  <dc:creator>fg</dc:creator>
  <cp:lastModifiedBy>LJ</cp:lastModifiedBy>
  <cp:revision>4</cp:revision>
  <cp:lastPrinted>2015-10-09T03:28:00Z</cp:lastPrinted>
  <dcterms:created xsi:type="dcterms:W3CDTF">2023-10-17T02:48:00Z</dcterms:created>
  <dcterms:modified xsi:type="dcterms:W3CDTF">2023-10-18T01:17:00Z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80BC2C6DA0624E448C10CFF013993B74</vt:lpwstr>
  </property>
</Properties>
</file>